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7AA1A" w14:textId="77777777" w:rsidR="00041F1E" w:rsidRDefault="00611674" w:rsidP="00611674">
      <w:pPr>
        <w:pStyle w:val="Title"/>
      </w:pPr>
      <w:r>
        <w:t xml:space="preserve">RFC: </w:t>
      </w:r>
      <w:r w:rsidR="00041F1E">
        <w:t>Nagg extension for terrain corrected geolocation</w:t>
      </w:r>
    </w:p>
    <w:p w14:paraId="5BE56EB3" w14:textId="77777777" w:rsidR="00611674" w:rsidRDefault="00041F1E" w:rsidP="00611674">
      <w:pPr>
        <w:pStyle w:val="Author"/>
      </w:pPr>
      <w:r>
        <w:t>Albert Cheng</w:t>
      </w:r>
    </w:p>
    <w:p w14:paraId="0BD4BF45" w14:textId="77777777" w:rsidR="00041F1E" w:rsidRDefault="00041F1E" w:rsidP="00611674">
      <w:pPr>
        <w:pStyle w:val="Author"/>
      </w:pPr>
      <w:r>
        <w:t>Larry Knox</w:t>
      </w:r>
    </w:p>
    <w:p w14:paraId="7BBA5F4D" w14:textId="77777777" w:rsidR="00611674" w:rsidRPr="006000D5" w:rsidRDefault="00041F1E" w:rsidP="00611674">
      <w:pPr>
        <w:pStyle w:val="Author"/>
      </w:pPr>
      <w:r>
        <w:t>Elena Pourmal</w:t>
      </w:r>
    </w:p>
    <w:p w14:paraId="37E717BE" w14:textId="77777777" w:rsidR="00611674" w:rsidRDefault="00041F1E" w:rsidP="00611674">
      <w:pPr>
        <w:pStyle w:val="Abstract"/>
      </w:pPr>
      <w:r>
        <w:t xml:space="preserve">This document summarizes an extended functionality of the </w:t>
      </w:r>
      <w:r w:rsidR="00DF4FA0">
        <w:t>NPP</w:t>
      </w:r>
      <w:r>
        <w:t xml:space="preserve"> aggregating</w:t>
      </w:r>
      <w:r w:rsidR="00447BEF">
        <w:t xml:space="preserve"> and packaging</w:t>
      </w:r>
      <w:r>
        <w:t xml:space="preserve"> tool nagg to allow aggregation of </w:t>
      </w:r>
      <w:r w:rsidR="00447BEF">
        <w:t>certain</w:t>
      </w:r>
      <w:r>
        <w:t xml:space="preserve"> </w:t>
      </w:r>
      <w:r w:rsidR="008304D8">
        <w:t>NPP</w:t>
      </w:r>
      <w:r w:rsidR="008304D8">
        <w:t xml:space="preserve"> </w:t>
      </w:r>
      <w:r>
        <w:t xml:space="preserve">data products with a terrain-corrected data product. </w:t>
      </w:r>
    </w:p>
    <w:p w14:paraId="378696C9" w14:textId="77777777" w:rsidR="00611674" w:rsidRPr="00913E2A" w:rsidRDefault="00611674" w:rsidP="00611674">
      <w:pPr>
        <w:pStyle w:val="Divider"/>
      </w:pPr>
    </w:p>
    <w:p w14:paraId="415370CA" w14:textId="77777777" w:rsidR="00611674" w:rsidRDefault="00611674" w:rsidP="00611674">
      <w:pPr>
        <w:pStyle w:val="Heading1"/>
      </w:pPr>
      <w:r>
        <w:t xml:space="preserve">Introduction    </w:t>
      </w:r>
    </w:p>
    <w:p w14:paraId="391AD212" w14:textId="77777777" w:rsidR="00B361F9" w:rsidRDefault="00041F1E" w:rsidP="00041F1E">
      <w:pPr>
        <w:pStyle w:val="Heading1"/>
        <w:numPr>
          <w:ilvl w:val="0"/>
          <w:numId w:val="0"/>
        </w:numPr>
        <w:rPr>
          <w:b w:val="0"/>
        </w:rPr>
      </w:pPr>
      <w:r w:rsidRPr="00041F1E">
        <w:rPr>
          <w:b w:val="0"/>
          <w:sz w:val="24"/>
          <w:szCs w:val="24"/>
        </w:rPr>
        <w:t>Nagg</w:t>
      </w:r>
      <w:r w:rsidR="00F43C49">
        <w:rPr>
          <w:b w:val="0"/>
          <w:sz w:val="24"/>
          <w:szCs w:val="24"/>
        </w:rPr>
        <w:t xml:space="preserve"> (</w:t>
      </w:r>
      <w:hyperlink r:id="rId9" w:history="1">
        <w:r w:rsidR="00F43C49" w:rsidRPr="000C2508">
          <w:rPr>
            <w:rStyle w:val="Hyperlink"/>
            <w:b w:val="0"/>
            <w:sz w:val="24"/>
            <w:szCs w:val="24"/>
          </w:rPr>
          <w:t>http://www.hdfgroup.org/projects/npoess/nagg_index.html</w:t>
        </w:r>
      </w:hyperlink>
      <w:r w:rsidR="00F43C49">
        <w:rPr>
          <w:b w:val="0"/>
          <w:sz w:val="24"/>
          <w:szCs w:val="24"/>
        </w:rPr>
        <w:t xml:space="preserve">) </w:t>
      </w:r>
      <w:r w:rsidRPr="00041F1E">
        <w:rPr>
          <w:b w:val="0"/>
          <w:sz w:val="24"/>
          <w:szCs w:val="24"/>
        </w:rPr>
        <w:t xml:space="preserve">is a tool for aggregating </w:t>
      </w:r>
      <w:r w:rsidR="008304D8">
        <w:rPr>
          <w:b w:val="0"/>
          <w:sz w:val="24"/>
          <w:szCs w:val="24"/>
        </w:rPr>
        <w:t>NPP</w:t>
      </w:r>
      <w:r w:rsidR="008304D8" w:rsidRPr="00041F1E">
        <w:rPr>
          <w:b w:val="0"/>
          <w:sz w:val="24"/>
          <w:szCs w:val="24"/>
        </w:rPr>
        <w:t xml:space="preserve"> </w:t>
      </w:r>
      <w:r w:rsidRPr="00041F1E">
        <w:rPr>
          <w:b w:val="0"/>
          <w:sz w:val="24"/>
          <w:szCs w:val="24"/>
        </w:rPr>
        <w:t>data granules from existing files into new files with a different number of granules per file or different combinations of compatible products than in the original files.</w:t>
      </w:r>
      <w:r>
        <w:rPr>
          <w:b w:val="0"/>
        </w:rPr>
        <w:t xml:space="preserve"> </w:t>
      </w:r>
    </w:p>
    <w:p w14:paraId="54F9CA77" w14:textId="77777777" w:rsidR="00611674" w:rsidRPr="00B361F9" w:rsidRDefault="00041F1E" w:rsidP="00041F1E">
      <w:pPr>
        <w:pStyle w:val="Heading1"/>
        <w:numPr>
          <w:ilvl w:val="0"/>
          <w:numId w:val="0"/>
        </w:numPr>
        <w:rPr>
          <w:b w:val="0"/>
        </w:rPr>
      </w:pPr>
      <w:r>
        <w:rPr>
          <w:rFonts w:asciiTheme="minorHAnsi" w:hAnsiTheme="minorHAnsi"/>
          <w:b w:val="0"/>
          <w:sz w:val="24"/>
          <w:szCs w:val="24"/>
        </w:rPr>
        <w:t xml:space="preserve">The current 1.4.0 and earlier versions of nagg define “compatible” </w:t>
      </w:r>
      <w:r w:rsidR="008304D8">
        <w:rPr>
          <w:rFonts w:asciiTheme="minorHAnsi" w:hAnsiTheme="minorHAnsi"/>
          <w:b w:val="0"/>
          <w:sz w:val="24"/>
          <w:szCs w:val="24"/>
        </w:rPr>
        <w:t>NPP</w:t>
      </w:r>
      <w:r w:rsidR="008304D8">
        <w:rPr>
          <w:rFonts w:asciiTheme="minorHAnsi" w:hAnsiTheme="minorHAnsi"/>
          <w:b w:val="0"/>
          <w:sz w:val="24"/>
          <w:szCs w:val="24"/>
        </w:rPr>
        <w:t xml:space="preserve"> </w:t>
      </w:r>
      <w:r>
        <w:rPr>
          <w:rFonts w:asciiTheme="minorHAnsi" w:hAnsiTheme="minorHAnsi"/>
          <w:b w:val="0"/>
          <w:sz w:val="24"/>
          <w:szCs w:val="24"/>
        </w:rPr>
        <w:t>products as t</w:t>
      </w:r>
      <w:r w:rsidR="00B361F9">
        <w:rPr>
          <w:rFonts w:asciiTheme="minorHAnsi" w:hAnsiTheme="minorHAnsi"/>
          <w:b w:val="0"/>
          <w:sz w:val="24"/>
          <w:szCs w:val="24"/>
        </w:rPr>
        <w:t>he products that have the same</w:t>
      </w:r>
      <w:r>
        <w:rPr>
          <w:rFonts w:asciiTheme="minorHAnsi" w:hAnsiTheme="minorHAnsi"/>
          <w:b w:val="0"/>
          <w:sz w:val="24"/>
          <w:szCs w:val="24"/>
        </w:rPr>
        <w:t xml:space="preserve"> geolocation product</w:t>
      </w:r>
      <w:r w:rsidR="00B361F9">
        <w:rPr>
          <w:rStyle w:val="FootnoteReference"/>
          <w:rFonts w:asciiTheme="minorHAnsi" w:hAnsiTheme="minorHAnsi"/>
          <w:b w:val="0"/>
          <w:sz w:val="24"/>
          <w:szCs w:val="24"/>
        </w:rPr>
        <w:footnoteReference w:id="1"/>
      </w:r>
      <w:r>
        <w:rPr>
          <w:rFonts w:asciiTheme="minorHAnsi" w:hAnsiTheme="minorHAnsi"/>
          <w:b w:val="0"/>
          <w:sz w:val="24"/>
          <w:szCs w:val="24"/>
        </w:rPr>
        <w:t xml:space="preserve">. </w:t>
      </w:r>
      <w:r w:rsidR="00B361F9">
        <w:rPr>
          <w:rFonts w:asciiTheme="minorHAnsi" w:hAnsiTheme="minorHAnsi"/>
          <w:b w:val="0"/>
          <w:sz w:val="24"/>
          <w:szCs w:val="24"/>
        </w:rPr>
        <w:t xml:space="preserve">The HDF Group developers received a request to extend nagg functionality to allow aggregation of </w:t>
      </w:r>
      <w:r w:rsidR="00447BEF">
        <w:rPr>
          <w:rFonts w:asciiTheme="minorHAnsi" w:hAnsiTheme="minorHAnsi"/>
          <w:b w:val="0"/>
          <w:sz w:val="24"/>
          <w:szCs w:val="24"/>
        </w:rPr>
        <w:t>appropriate</w:t>
      </w:r>
      <w:r w:rsidR="00B361F9">
        <w:rPr>
          <w:rFonts w:asciiTheme="minorHAnsi" w:hAnsiTheme="minorHAnsi"/>
          <w:b w:val="0"/>
          <w:sz w:val="24"/>
          <w:szCs w:val="24"/>
        </w:rPr>
        <w:t xml:space="preserve"> </w:t>
      </w:r>
      <w:r w:rsidR="008304D8">
        <w:rPr>
          <w:rFonts w:asciiTheme="minorHAnsi" w:hAnsiTheme="minorHAnsi"/>
          <w:b w:val="0"/>
          <w:sz w:val="24"/>
          <w:szCs w:val="24"/>
        </w:rPr>
        <w:t>NPP</w:t>
      </w:r>
      <w:r w:rsidR="008304D8">
        <w:rPr>
          <w:rFonts w:asciiTheme="minorHAnsi" w:hAnsiTheme="minorHAnsi"/>
          <w:b w:val="0"/>
          <w:sz w:val="24"/>
          <w:szCs w:val="24"/>
        </w:rPr>
        <w:t xml:space="preserve"> </w:t>
      </w:r>
      <w:r w:rsidR="00F43C49">
        <w:rPr>
          <w:rFonts w:asciiTheme="minorHAnsi" w:hAnsiTheme="minorHAnsi"/>
          <w:b w:val="0"/>
          <w:sz w:val="24"/>
          <w:szCs w:val="24"/>
        </w:rPr>
        <w:t>data products with a terrain-</w:t>
      </w:r>
      <w:r w:rsidR="00B361F9">
        <w:rPr>
          <w:rFonts w:asciiTheme="minorHAnsi" w:hAnsiTheme="minorHAnsi"/>
          <w:b w:val="0"/>
          <w:sz w:val="24"/>
          <w:szCs w:val="24"/>
        </w:rPr>
        <w:t>corrected geoproduct. This requested prompted The HDF Group to come up with</w:t>
      </w:r>
      <w:r w:rsidR="00F43C49">
        <w:rPr>
          <w:rFonts w:asciiTheme="minorHAnsi" w:hAnsiTheme="minorHAnsi"/>
          <w:b w:val="0"/>
          <w:sz w:val="24"/>
          <w:szCs w:val="24"/>
        </w:rPr>
        <w:t xml:space="preserve"> </w:t>
      </w:r>
      <w:r w:rsidR="00B361F9">
        <w:rPr>
          <w:rFonts w:asciiTheme="minorHAnsi" w:hAnsiTheme="minorHAnsi"/>
          <w:b w:val="0"/>
          <w:sz w:val="24"/>
          <w:szCs w:val="24"/>
        </w:rPr>
        <w:t xml:space="preserve">formal definitions of the “compatible” </w:t>
      </w:r>
      <w:r w:rsidR="008304D8">
        <w:rPr>
          <w:rFonts w:asciiTheme="minorHAnsi" w:hAnsiTheme="minorHAnsi"/>
          <w:b w:val="0"/>
          <w:sz w:val="24"/>
          <w:szCs w:val="24"/>
        </w:rPr>
        <w:t>NPP</w:t>
      </w:r>
      <w:r w:rsidR="008304D8">
        <w:rPr>
          <w:rFonts w:asciiTheme="minorHAnsi" w:hAnsiTheme="minorHAnsi"/>
          <w:b w:val="0"/>
          <w:sz w:val="24"/>
          <w:szCs w:val="24"/>
        </w:rPr>
        <w:t xml:space="preserve"> </w:t>
      </w:r>
      <w:r w:rsidR="00B361F9">
        <w:rPr>
          <w:rFonts w:asciiTheme="minorHAnsi" w:hAnsiTheme="minorHAnsi"/>
          <w:b w:val="0"/>
          <w:sz w:val="24"/>
          <w:szCs w:val="24"/>
        </w:rPr>
        <w:t>products that can be used in describ</w:t>
      </w:r>
      <w:r w:rsidR="004200E8">
        <w:rPr>
          <w:rFonts w:asciiTheme="minorHAnsi" w:hAnsiTheme="minorHAnsi"/>
          <w:b w:val="0"/>
          <w:sz w:val="24"/>
          <w:szCs w:val="24"/>
        </w:rPr>
        <w:t xml:space="preserve">ing the extended functionality since none of the definitions found in the Control books </w:t>
      </w:r>
      <w:r w:rsidR="00F43C49">
        <w:rPr>
          <w:rFonts w:asciiTheme="minorHAnsi" w:hAnsiTheme="minorHAnsi"/>
          <w:b w:val="0"/>
          <w:sz w:val="24"/>
          <w:szCs w:val="24"/>
        </w:rPr>
        <w:t>could</w:t>
      </w:r>
      <w:r w:rsidR="004200E8">
        <w:rPr>
          <w:rFonts w:asciiTheme="minorHAnsi" w:hAnsiTheme="minorHAnsi"/>
          <w:b w:val="0"/>
          <w:sz w:val="24"/>
          <w:szCs w:val="24"/>
        </w:rPr>
        <w:t xml:space="preserve"> serve the purpose. The authors would be more than happy to use the Control Books</w:t>
      </w:r>
      <w:r w:rsidR="0099560A">
        <w:rPr>
          <w:rFonts w:asciiTheme="minorHAnsi" w:hAnsiTheme="minorHAnsi"/>
          <w:b w:val="0"/>
          <w:sz w:val="24"/>
          <w:szCs w:val="24"/>
        </w:rPr>
        <w:t>'</w:t>
      </w:r>
      <w:r w:rsidR="004200E8">
        <w:rPr>
          <w:rFonts w:asciiTheme="minorHAnsi" w:hAnsiTheme="minorHAnsi"/>
          <w:b w:val="0"/>
          <w:sz w:val="24"/>
          <w:szCs w:val="24"/>
        </w:rPr>
        <w:t xml:space="preserve"> definitions if they exist but were over</w:t>
      </w:r>
      <w:r w:rsidR="0099560A">
        <w:rPr>
          <w:rFonts w:asciiTheme="minorHAnsi" w:hAnsiTheme="minorHAnsi"/>
          <w:b w:val="0"/>
          <w:sz w:val="24"/>
          <w:szCs w:val="24"/>
        </w:rPr>
        <w:t>looked</w:t>
      </w:r>
      <w:r w:rsidR="004200E8">
        <w:rPr>
          <w:rFonts w:asciiTheme="minorHAnsi" w:hAnsiTheme="minorHAnsi"/>
          <w:b w:val="0"/>
          <w:sz w:val="24"/>
          <w:szCs w:val="24"/>
        </w:rPr>
        <w:t xml:space="preserve"> by us. </w:t>
      </w:r>
    </w:p>
    <w:p w14:paraId="272091D2" w14:textId="77777777" w:rsidR="00077F4A" w:rsidRDefault="00077F4A">
      <w:pPr>
        <w:spacing w:after="0"/>
        <w:jc w:val="left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14:paraId="0DD90D7A" w14:textId="0241888F" w:rsidR="00611674" w:rsidRPr="00633649" w:rsidRDefault="00077087" w:rsidP="00611674">
      <w:pPr>
        <w:pStyle w:val="Heading1"/>
      </w:pPr>
      <w:r>
        <w:lastRenderedPageBreak/>
        <w:t>Definitions</w:t>
      </w:r>
    </w:p>
    <w:p w14:paraId="5AE6B76B" w14:textId="77777777" w:rsidR="00611674" w:rsidRDefault="00077087" w:rsidP="00611674">
      <w:r>
        <w:t>This section introduces definitions that will be used to describe nagg’s functionality in section 3</w:t>
      </w:r>
      <w:r w:rsidR="00611674">
        <w:t>.</w:t>
      </w:r>
      <w:r>
        <w:t xml:space="preserve"> </w:t>
      </w:r>
    </w:p>
    <w:p w14:paraId="60176341" w14:textId="77777777" w:rsidR="00611674" w:rsidRDefault="00077087" w:rsidP="00CD7C81">
      <w:pPr>
        <w:pStyle w:val="Heading2"/>
      </w:pPr>
      <w:r>
        <w:t>Designated geolocation product</w:t>
      </w:r>
    </w:p>
    <w:p w14:paraId="7C479737" w14:textId="77777777" w:rsidR="00611674" w:rsidRPr="00077087" w:rsidRDefault="00723385" w:rsidP="00611674">
      <w:pPr>
        <w:rPr>
          <w:rStyle w:val="Strong"/>
          <w:u w:val="single"/>
        </w:rPr>
      </w:pPr>
      <w:r w:rsidRPr="000C5ABD">
        <w:rPr>
          <w:b/>
        </w:rPr>
        <w:t>Definition:</w:t>
      </w:r>
      <w:r>
        <w:t xml:space="preserve"> A</w:t>
      </w:r>
      <w:r w:rsidR="00077087">
        <w:t xml:space="preserve"> geolocation product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DP</m:t>
            </m:r>
          </m:sub>
        </m:sSub>
      </m:oMath>
      <w:r w:rsidR="00077087">
        <w:t xml:space="preserve"> is a </w:t>
      </w:r>
      <w:r w:rsidR="00077087" w:rsidRPr="00077087">
        <w:rPr>
          <w:i/>
        </w:rPr>
        <w:t>designated</w:t>
      </w:r>
      <w:r w:rsidR="00077087">
        <w:t xml:space="preserve"> geolocation product for the </w:t>
      </w:r>
      <w:r w:rsidR="008304D8">
        <w:t>NPP</w:t>
      </w:r>
      <w:r w:rsidR="008304D8">
        <w:t xml:space="preserve"> </w:t>
      </w:r>
      <w:r w:rsidR="00077087">
        <w:t xml:space="preserve">product </w:t>
      </w:r>
      <m:oMath>
        <m:r>
          <w:rPr>
            <w:rFonts w:ascii="Cambria Math" w:hAnsi="Cambria Math"/>
          </w:rPr>
          <m:t>DP</m:t>
        </m:r>
      </m:oMath>
      <w:r w:rsidR="00077087">
        <w:t xml:space="preserve"> if the geolocation product collection short name appears in the column “GEO CSN” in Tables A-2 – A-6 of the </w:t>
      </w:r>
      <w:r w:rsidR="00077087" w:rsidRPr="001D39E7">
        <w:rPr>
          <w:u w:val="single"/>
        </w:rPr>
        <w:t>JPSS</w:t>
      </w:r>
      <w:r w:rsidR="00077087" w:rsidRPr="00077087">
        <w:rPr>
          <w:u w:val="single"/>
        </w:rPr>
        <w:t xml:space="preserve"> Common Data Format Control Book – External Volume I.  </w:t>
      </w:r>
    </w:p>
    <w:p w14:paraId="61811AAE" w14:textId="77777777" w:rsidR="00611674" w:rsidRDefault="00077087" w:rsidP="00A420A2">
      <w:pPr>
        <w:pStyle w:val="Heading2"/>
      </w:pPr>
      <w:r>
        <w:t>Equivalent geolocation products</w:t>
      </w:r>
    </w:p>
    <w:p w14:paraId="30E96F3C" w14:textId="77777777" w:rsidR="00611674" w:rsidRDefault="00723385" w:rsidP="00611674">
      <w:pPr>
        <w:rPr>
          <w:rFonts w:eastAsiaTheme="minorEastAsia"/>
        </w:rPr>
      </w:pPr>
      <w:r w:rsidRPr="000C5ABD">
        <w:rPr>
          <w:b/>
        </w:rPr>
        <w:t>Definition:</w:t>
      </w:r>
      <w:r>
        <w:t xml:space="preserve"> T</w:t>
      </w:r>
      <w:r w:rsidR="00CD7C81">
        <w:t xml:space="preserve">wo geolocation products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</m:sSub>
      </m:oMath>
      <w:r w:rsidR="00CD7C81">
        <w:rPr>
          <w:rFonts w:eastAsiaTheme="minorEastAsia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 w:rsidR="00360AE1">
        <w:rPr>
          <w:rFonts w:eastAsiaTheme="minorEastAsia"/>
        </w:rPr>
        <w:t xml:space="preserve"> </w:t>
      </w:r>
      <w:r w:rsidR="00F43C49">
        <w:rPr>
          <w:rFonts w:eastAsiaTheme="minorEastAsia"/>
        </w:rPr>
        <w:t xml:space="preserve">are </w:t>
      </w:r>
      <w:r w:rsidR="00360AE1" w:rsidRPr="005A0C25">
        <w:rPr>
          <w:rFonts w:eastAsiaTheme="minorEastAsia"/>
          <w:i/>
        </w:rPr>
        <w:t>equivalent</w:t>
      </w:r>
      <w:r w:rsidR="00360AE1">
        <w:rPr>
          <w:rFonts w:eastAsiaTheme="minorEastAsia"/>
        </w:rPr>
        <w:t xml:space="preserve"> if the pair</w:t>
      </w:r>
      <w:r w:rsidR="00CD7C81">
        <w:rPr>
          <w:rFonts w:eastAsiaTheme="minorEastAsia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 w:rsidR="00CD7C81">
        <w:rPr>
          <w:rFonts w:eastAsiaTheme="minorEastAsia"/>
        </w:rPr>
        <w:t xml:space="preserve">) or </w:t>
      </w:r>
      <w:bookmarkStart w:id="0" w:name="_GoBack"/>
      <w:bookmarkEnd w:id="0"/>
      <w:r w:rsidR="00CD7C81">
        <w:rPr>
          <w:rFonts w:eastAsiaTheme="minorEastAsia"/>
        </w:rPr>
        <w:t>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</m:sSub>
      </m:oMath>
      <w:r w:rsidR="00CD7C81">
        <w:rPr>
          <w:rFonts w:eastAsiaTheme="minorEastAsia"/>
        </w:rPr>
        <w:t xml:space="preserve">) can be found in one of </w:t>
      </w:r>
      <w:r w:rsidR="000C5ABD">
        <w:rPr>
          <w:rFonts w:eastAsiaTheme="minorEastAsia"/>
        </w:rPr>
        <w:t>the</w:t>
      </w:r>
      <w:r w:rsidR="00CD7C81">
        <w:rPr>
          <w:rFonts w:eastAsiaTheme="minorEastAsia"/>
        </w:rPr>
        <w:t xml:space="preserve"> rows of Table 1:</w:t>
      </w:r>
    </w:p>
    <w:p w14:paraId="065D2B77" w14:textId="77777777" w:rsidR="00360AE1" w:rsidRDefault="00360AE1" w:rsidP="00611674">
      <w:pPr>
        <w:rPr>
          <w:rFonts w:eastAsiaTheme="minorEastAsia"/>
        </w:rPr>
      </w:pPr>
    </w:p>
    <w:tbl>
      <w:tblPr>
        <w:tblStyle w:val="DarkList-Accent5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D7C81" w14:paraId="2BEEDB04" w14:textId="77777777" w:rsidTr="00CD7C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3F591F77" w14:textId="77777777" w:rsidR="00CD7C81" w:rsidRDefault="00CD7C81" w:rsidP="00CD7C81">
            <w:r>
              <w:t>G</w:t>
            </w:r>
            <w:r w:rsidRPr="00164C6D">
              <w:t>PID</w:t>
            </w:r>
          </w:p>
        </w:tc>
        <w:tc>
          <w:tcPr>
            <w:tcW w:w="4788" w:type="dxa"/>
          </w:tcPr>
          <w:p w14:paraId="5918EAA6" w14:textId="77777777" w:rsidR="00CD7C81" w:rsidRDefault="00CD7C81" w:rsidP="00CD7C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4C6D">
              <w:t>TCPID</w:t>
            </w:r>
          </w:p>
        </w:tc>
      </w:tr>
      <w:tr w:rsidR="00CD7C81" w14:paraId="5223E3DD" w14:textId="77777777" w:rsidTr="00CD7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0554F3D6" w14:textId="77777777" w:rsidR="00CD7C81" w:rsidRDefault="00CD7C81" w:rsidP="00CD7C81">
            <w:r>
              <w:t>GATRO</w:t>
            </w:r>
          </w:p>
        </w:tc>
        <w:tc>
          <w:tcPr>
            <w:tcW w:w="4788" w:type="dxa"/>
          </w:tcPr>
          <w:p w14:paraId="271B01E1" w14:textId="77777777" w:rsidR="00CD7C81" w:rsidRDefault="00CD7C81" w:rsidP="00CD7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GCRIO</w:t>
            </w:r>
          </w:p>
        </w:tc>
      </w:tr>
      <w:tr w:rsidR="00CD7C81" w14:paraId="3F9FB77F" w14:textId="77777777" w:rsidTr="00CD7C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45E967EE" w14:textId="77777777" w:rsidR="00CD7C81" w:rsidRDefault="00CD7C81" w:rsidP="00CD7C81">
            <w:r>
              <w:t>GIMGO</w:t>
            </w:r>
          </w:p>
        </w:tc>
        <w:tc>
          <w:tcPr>
            <w:tcW w:w="4788" w:type="dxa"/>
          </w:tcPr>
          <w:p w14:paraId="2644FCB7" w14:textId="77777777" w:rsidR="00CD7C81" w:rsidRDefault="00CD7C81" w:rsidP="00CD7C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GITCO</w:t>
            </w:r>
          </w:p>
        </w:tc>
      </w:tr>
      <w:tr w:rsidR="00CD7C81" w14:paraId="057A3EB1" w14:textId="77777777" w:rsidTr="00CD7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14:paraId="6D4F53C2" w14:textId="77777777" w:rsidR="00CD7C81" w:rsidRDefault="00CD7C81" w:rsidP="00CD7C81">
            <w:r>
              <w:t>GMODO</w:t>
            </w:r>
          </w:p>
        </w:tc>
        <w:tc>
          <w:tcPr>
            <w:tcW w:w="4788" w:type="dxa"/>
          </w:tcPr>
          <w:p w14:paraId="174D2467" w14:textId="77777777" w:rsidR="00CD7C81" w:rsidRDefault="00CD7C81" w:rsidP="00CD7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GMTCO</w:t>
            </w:r>
          </w:p>
        </w:tc>
      </w:tr>
    </w:tbl>
    <w:p w14:paraId="3DC3B36A" w14:textId="77777777" w:rsidR="00CD7C81" w:rsidRPr="00723385" w:rsidRDefault="00CD7C81" w:rsidP="00723385">
      <w:pPr>
        <w:pStyle w:val="Caption"/>
        <w:jc w:val="center"/>
        <w:rPr>
          <w:b w:val="0"/>
          <w:color w:val="auto"/>
          <w:sz w:val="24"/>
          <w:szCs w:val="24"/>
          <w:vertAlign w:val="subscript"/>
        </w:rPr>
      </w:pPr>
      <w:r w:rsidRPr="00723385">
        <w:rPr>
          <w:b w:val="0"/>
          <w:color w:val="auto"/>
          <w:sz w:val="24"/>
          <w:szCs w:val="24"/>
        </w:rPr>
        <w:t xml:space="preserve">Table </w:t>
      </w:r>
      <w:r w:rsidRPr="00723385">
        <w:rPr>
          <w:b w:val="0"/>
          <w:color w:val="auto"/>
          <w:sz w:val="24"/>
          <w:szCs w:val="24"/>
        </w:rPr>
        <w:fldChar w:fldCharType="begin"/>
      </w:r>
      <w:r w:rsidRPr="00723385">
        <w:rPr>
          <w:b w:val="0"/>
          <w:color w:val="auto"/>
          <w:sz w:val="24"/>
          <w:szCs w:val="24"/>
        </w:rPr>
        <w:instrText xml:space="preserve"> SEQ Table \* ARABIC </w:instrText>
      </w:r>
      <w:r w:rsidRPr="00723385">
        <w:rPr>
          <w:b w:val="0"/>
          <w:color w:val="auto"/>
          <w:sz w:val="24"/>
          <w:szCs w:val="24"/>
        </w:rPr>
        <w:fldChar w:fldCharType="separate"/>
      </w:r>
      <w:r w:rsidR="00661D81">
        <w:rPr>
          <w:b w:val="0"/>
          <w:noProof/>
          <w:color w:val="auto"/>
          <w:sz w:val="24"/>
          <w:szCs w:val="24"/>
        </w:rPr>
        <w:t>1</w:t>
      </w:r>
      <w:r w:rsidRPr="00723385">
        <w:rPr>
          <w:b w:val="0"/>
          <w:color w:val="auto"/>
          <w:sz w:val="24"/>
          <w:szCs w:val="24"/>
        </w:rPr>
        <w:fldChar w:fldCharType="end"/>
      </w:r>
      <w:r w:rsidRPr="00723385">
        <w:rPr>
          <w:b w:val="0"/>
          <w:color w:val="auto"/>
          <w:sz w:val="24"/>
          <w:szCs w:val="24"/>
        </w:rPr>
        <w:t xml:space="preserve">: </w:t>
      </w:r>
      <w:proofErr w:type="spellStart"/>
      <w:r w:rsidRPr="00723385">
        <w:rPr>
          <w:b w:val="0"/>
          <w:color w:val="auto"/>
          <w:sz w:val="24"/>
          <w:szCs w:val="24"/>
        </w:rPr>
        <w:t>Geoproducts</w:t>
      </w:r>
      <w:proofErr w:type="spellEnd"/>
      <w:r w:rsidRPr="00723385">
        <w:rPr>
          <w:b w:val="0"/>
          <w:color w:val="auto"/>
          <w:sz w:val="24"/>
          <w:szCs w:val="24"/>
        </w:rPr>
        <w:t xml:space="preserve"> </w:t>
      </w:r>
      <w:r w:rsidR="00360AE1" w:rsidRPr="00723385">
        <w:rPr>
          <w:b w:val="0"/>
          <w:color w:val="auto"/>
          <w:sz w:val="24"/>
          <w:szCs w:val="24"/>
        </w:rPr>
        <w:t xml:space="preserve">with the </w:t>
      </w:r>
      <w:r w:rsidRPr="00723385">
        <w:rPr>
          <w:b w:val="0"/>
          <w:color w:val="auto"/>
          <w:sz w:val="24"/>
          <w:szCs w:val="24"/>
        </w:rPr>
        <w:t>corresponding terrain-corrected geo products</w:t>
      </w:r>
    </w:p>
    <w:p w14:paraId="17C6BC4E" w14:textId="77777777" w:rsidR="00611674" w:rsidRDefault="00611674" w:rsidP="005A0C25">
      <w:pPr>
        <w:pStyle w:val="Heading3"/>
        <w:numPr>
          <w:ilvl w:val="0"/>
          <w:numId w:val="0"/>
        </w:numPr>
        <w:ind w:left="720"/>
      </w:pPr>
    </w:p>
    <w:p w14:paraId="3E32CB29" w14:textId="77777777" w:rsidR="005A0C25" w:rsidRDefault="000C5ABD" w:rsidP="00A420A2">
      <w:pPr>
        <w:pStyle w:val="Heading2"/>
      </w:pPr>
      <w:r>
        <w:t>Terrain-corrected</w:t>
      </w:r>
      <w:r w:rsidR="005A0C25">
        <w:t xml:space="preserve"> geolocation product</w:t>
      </w:r>
    </w:p>
    <w:p w14:paraId="3DA8C108" w14:textId="77777777" w:rsidR="005A0C25" w:rsidRPr="005A0C25" w:rsidRDefault="005A0C25" w:rsidP="005A0C25">
      <w:r w:rsidRPr="000C5ABD">
        <w:rPr>
          <w:b/>
        </w:rPr>
        <w:t>Definition:</w:t>
      </w:r>
      <w:r>
        <w:t xml:space="preserve"> </w:t>
      </w:r>
      <w:r w:rsidR="00AF464B">
        <w:t>A p</w:t>
      </w:r>
      <w:r w:rsidR="000C5ABD">
        <w:t>roduct</w:t>
      </w:r>
      <w:r>
        <w:t xml:space="preserve"> listed in the second column of Table 1 </w:t>
      </w:r>
      <w:r w:rsidR="00AF464B">
        <w:t>is</w:t>
      </w:r>
      <w:r>
        <w:t xml:space="preserve"> called a </w:t>
      </w:r>
      <w:r w:rsidR="000C5ABD">
        <w:rPr>
          <w:i/>
        </w:rPr>
        <w:t>terrain-corrected</w:t>
      </w:r>
      <w:r>
        <w:t xml:space="preserve"> geolocation product.</w:t>
      </w:r>
      <w:r w:rsidR="00AF464B">
        <w:t xml:space="preserve"> </w:t>
      </w:r>
    </w:p>
    <w:p w14:paraId="0E022148" w14:textId="293017F0" w:rsidR="00611674" w:rsidRDefault="00723385" w:rsidP="00A420A2">
      <w:pPr>
        <w:pStyle w:val="Heading2"/>
      </w:pPr>
      <w:r>
        <w:t xml:space="preserve">Compatible </w:t>
      </w:r>
      <w:r w:rsidR="00077F4A">
        <w:t>NPP</w:t>
      </w:r>
      <w:r w:rsidR="00077F4A">
        <w:t xml:space="preserve"> </w:t>
      </w:r>
      <w:r>
        <w:t>products</w:t>
      </w:r>
    </w:p>
    <w:p w14:paraId="02C384AD" w14:textId="77777777" w:rsidR="00611674" w:rsidRDefault="00723385" w:rsidP="00EC59EB">
      <w:pPr>
        <w:jc w:val="left"/>
      </w:pPr>
      <w:r w:rsidRPr="000C5ABD">
        <w:rPr>
          <w:b/>
        </w:rPr>
        <w:t>Definition:</w:t>
      </w:r>
      <w:r>
        <w:t xml:space="preserve"> Two </w:t>
      </w:r>
      <w:r w:rsidR="008304D8">
        <w:t>NPP</w:t>
      </w:r>
      <w:r w:rsidR="008304D8">
        <w:t xml:space="preserve"> </w:t>
      </w:r>
      <w:r>
        <w:t xml:space="preserve">products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are </w:t>
      </w:r>
      <w:r w:rsidRPr="005A0C25">
        <w:rPr>
          <w:rFonts w:eastAsiaTheme="minorEastAsia"/>
          <w:i/>
        </w:rPr>
        <w:t>compatible</w:t>
      </w:r>
      <w:r>
        <w:rPr>
          <w:rFonts w:eastAsiaTheme="minorEastAsia"/>
        </w:rPr>
        <w:t xml:space="preserve"> if</w:t>
      </w:r>
      <w:r w:rsidR="00EC59EB">
        <w:rPr>
          <w:rFonts w:eastAsiaTheme="minorEastAsia"/>
        </w:rPr>
        <w:t xml:space="preserve"> the </w:t>
      </w:r>
      <w:r>
        <w:rPr>
          <w:rFonts w:eastAsiaTheme="minorEastAsia"/>
        </w:rPr>
        <w:t xml:space="preserve">corresponding designated </w:t>
      </w:r>
      <w:proofErr w:type="spellStart"/>
      <w:r>
        <w:rPr>
          <w:rFonts w:eastAsiaTheme="minorEastAsia"/>
        </w:rPr>
        <w:t>geoproducts</w:t>
      </w:r>
      <w:proofErr w:type="spellEnd"/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</m:sSub>
      </m:oMath>
      <w:r>
        <w:rPr>
          <w:rFonts w:eastAsiaTheme="minorEastAsia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>
        <w:rPr>
          <w:rFonts w:eastAsiaTheme="minorEastAsia"/>
        </w:rPr>
        <w:t xml:space="preserve"> are the same or equivalent.</w:t>
      </w:r>
    </w:p>
    <w:p w14:paraId="21C59932" w14:textId="383720A0" w:rsidR="00611674" w:rsidRDefault="00294011" w:rsidP="00A420A2">
      <w:pPr>
        <w:pStyle w:val="Heading2"/>
      </w:pPr>
      <w:r>
        <w:t xml:space="preserve">A list of compatible </w:t>
      </w:r>
      <w:r w:rsidR="00077F4A">
        <w:t>NPP</w:t>
      </w:r>
      <w:r w:rsidR="00077F4A">
        <w:t xml:space="preserve"> </w:t>
      </w:r>
      <w:r>
        <w:t>products</w:t>
      </w:r>
    </w:p>
    <w:p w14:paraId="3492DD6C" w14:textId="7EE0BBE1" w:rsidR="00611674" w:rsidRDefault="00294011" w:rsidP="00611674">
      <w:r w:rsidRPr="000C5ABD">
        <w:rPr>
          <w:b/>
        </w:rPr>
        <w:t>Definition:</w:t>
      </w:r>
      <w:r>
        <w:t xml:space="preserve"> The </w:t>
      </w:r>
      <w:r w:rsidR="008304D8">
        <w:t>NPP</w:t>
      </w:r>
      <w:r w:rsidR="008304D8">
        <w:t xml:space="preserve"> </w:t>
      </w:r>
      <w:r>
        <w:t xml:space="preserve">products list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w:proofErr w:type="gramStart"/>
        <m:r>
          <w:rPr>
            <w:rFonts w:ascii="Cambria Math" w:hAnsi="Cambria Math"/>
          </w:rPr>
          <m:t>,</m:t>
        </m:r>
        <w:proofErr w:type="gramEnd"/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DP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is a </w:t>
      </w:r>
      <w:r w:rsidRPr="005A0C25">
        <w:rPr>
          <w:rFonts w:eastAsiaTheme="minorEastAsia"/>
          <w:i/>
        </w:rPr>
        <w:t>list of compatible products</w:t>
      </w:r>
      <w:r>
        <w:rPr>
          <w:rFonts w:eastAsiaTheme="minorEastAsia"/>
        </w:rPr>
        <w:t xml:space="preserve"> if any two products on the list are compatible.</w:t>
      </w:r>
    </w:p>
    <w:p w14:paraId="7BF75736" w14:textId="77777777" w:rsidR="00077F4A" w:rsidRDefault="00077F4A">
      <w:pPr>
        <w:spacing w:after="0"/>
        <w:jc w:val="left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14:paraId="014542F1" w14:textId="2786DDCA" w:rsidR="00611674" w:rsidRDefault="00A420A2" w:rsidP="00A420A2">
      <w:pPr>
        <w:pStyle w:val="Heading1"/>
      </w:pPr>
      <w:r>
        <w:lastRenderedPageBreak/>
        <w:t>Proposed extended nagg functionality</w:t>
      </w:r>
    </w:p>
    <w:p w14:paraId="5925CEB2" w14:textId="77777777" w:rsidR="00611674" w:rsidRDefault="00A420A2" w:rsidP="00611674">
      <w:r>
        <w:t xml:space="preserve">This section </w:t>
      </w:r>
      <w:r w:rsidR="00EC59EB">
        <w:t>describes</w:t>
      </w:r>
      <w:r>
        <w:t xml:space="preserve"> the changes in the nagg’s functionality to accommodate the request for packaging </w:t>
      </w:r>
      <w:r w:rsidR="008304D8">
        <w:t>NPP</w:t>
      </w:r>
      <w:r w:rsidR="008304D8">
        <w:t xml:space="preserve"> </w:t>
      </w:r>
      <w:r>
        <w:t>data products with the terrain-corrected data products.</w:t>
      </w:r>
    </w:p>
    <w:p w14:paraId="1A7776E2" w14:textId="77777777" w:rsidR="00611674" w:rsidRDefault="00240A9C" w:rsidP="00CD7C81">
      <w:pPr>
        <w:pStyle w:val="Heading2"/>
      </w:pPr>
      <w:r>
        <w:t>Extension</w:t>
      </w:r>
      <w:r w:rsidR="00A420A2">
        <w:t xml:space="preserve"> to </w:t>
      </w:r>
      <w:r>
        <w:t>the “</w:t>
      </w:r>
      <w:r w:rsidR="00A420A2">
        <w:t>–t</w:t>
      </w:r>
      <w:r>
        <w:t>”</w:t>
      </w:r>
      <w:r w:rsidR="00A420A2">
        <w:t xml:space="preserve"> option</w:t>
      </w:r>
    </w:p>
    <w:p w14:paraId="74187079" w14:textId="77777777" w:rsidR="00611674" w:rsidRDefault="00A420A2" w:rsidP="00611674">
      <w:r>
        <w:t xml:space="preserve">In the nagg release 1.5.0 the list of the </w:t>
      </w:r>
      <w:r w:rsidR="008304D8">
        <w:t>NPP</w:t>
      </w:r>
      <w:r w:rsidR="008304D8">
        <w:t xml:space="preserve"> </w:t>
      </w:r>
      <w:r>
        <w:t xml:space="preserve">products specified by “-t” is a list of the compatible </w:t>
      </w:r>
      <w:r w:rsidR="008304D8">
        <w:t>NPP</w:t>
      </w:r>
      <w:r w:rsidR="008304D8">
        <w:t xml:space="preserve"> </w:t>
      </w:r>
      <w:r>
        <w:t>products as defined in 2.4. T</w:t>
      </w:r>
      <w:r w:rsidR="00BD14F9">
        <w:t>he t</w:t>
      </w:r>
      <w:r>
        <w:t>ool will fail if the specified list is not compatible.</w:t>
      </w:r>
    </w:p>
    <w:p w14:paraId="689FD0E2" w14:textId="77777777" w:rsidR="00611674" w:rsidRDefault="00A420A2" w:rsidP="00CD7C81">
      <w:pPr>
        <w:pStyle w:val="Heading2"/>
      </w:pPr>
      <w:r>
        <w:t>Extension</w:t>
      </w:r>
      <w:r w:rsidR="003F040D">
        <w:t>s</w:t>
      </w:r>
      <w:r>
        <w:t xml:space="preserve"> to </w:t>
      </w:r>
      <w:r w:rsidR="00240A9C">
        <w:t>the “</w:t>
      </w:r>
      <w:r>
        <w:t>–g</w:t>
      </w:r>
      <w:r w:rsidR="00240A9C">
        <w:t>”</w:t>
      </w:r>
      <w:r>
        <w:t xml:space="preserve"> option</w:t>
      </w:r>
      <w:r w:rsidR="003F040D">
        <w:t xml:space="preserve"> behavior</w:t>
      </w:r>
    </w:p>
    <w:p w14:paraId="561D62EA" w14:textId="77777777" w:rsidR="00611674" w:rsidRPr="00913E2A" w:rsidRDefault="00A420A2" w:rsidP="00611674">
      <w:r>
        <w:t>This section describes the effect of the  “-g” option</w:t>
      </w:r>
      <w:r w:rsidR="00EC59EB">
        <w:t xml:space="preserve"> when a compatible list of the </w:t>
      </w:r>
      <w:r w:rsidR="008304D8">
        <w:t>NPP</w:t>
      </w:r>
      <w:r w:rsidR="008304D8">
        <w:t xml:space="preserve"> </w:t>
      </w:r>
      <w:r w:rsidR="00EC59EB">
        <w:t>products is specified by the “-t” option.</w:t>
      </w:r>
    </w:p>
    <w:p w14:paraId="40688BAA" w14:textId="77777777" w:rsidR="00611674" w:rsidRDefault="003F040D" w:rsidP="005A0C25">
      <w:pPr>
        <w:pStyle w:val="Heading3"/>
      </w:pPr>
      <w:r>
        <w:t xml:space="preserve">“-g” flag is </w:t>
      </w:r>
      <w:r w:rsidR="005A0C25">
        <w:t>not used</w:t>
      </w:r>
    </w:p>
    <w:p w14:paraId="05C2DEBD" w14:textId="77777777" w:rsidR="00240A9C" w:rsidRDefault="003F040D" w:rsidP="00611674">
      <w:r>
        <w:t xml:space="preserve">When no “-g” is specified on the command line for nagg, </w:t>
      </w:r>
      <w:r w:rsidR="00240A9C">
        <w:t xml:space="preserve">a designated geoproduct is used, unless a </w:t>
      </w:r>
      <w:r w:rsidR="000C5ABD">
        <w:t>terrain-corrected</w:t>
      </w:r>
      <w:r w:rsidR="00240A9C">
        <w:t xml:space="preserve"> </w:t>
      </w:r>
      <w:r>
        <w:t xml:space="preserve">geolocation product </w:t>
      </w:r>
      <w:r w:rsidR="00240A9C">
        <w:t>is found as a</w:t>
      </w:r>
      <w:r w:rsidR="005A0C25">
        <w:t xml:space="preserve"> designated </w:t>
      </w:r>
      <w:r w:rsidR="00240A9C">
        <w:t>geo</w:t>
      </w:r>
      <w:r w:rsidR="000C5ABD">
        <w:t xml:space="preserve">location </w:t>
      </w:r>
      <w:r w:rsidR="005A0C25">
        <w:t>product</w:t>
      </w:r>
      <w:r w:rsidR="00240A9C">
        <w:t xml:space="preserve"> for one of the data products on the list.</w:t>
      </w:r>
    </w:p>
    <w:p w14:paraId="1FE7B44E" w14:textId="77777777" w:rsidR="005A0C25" w:rsidRDefault="000C5ABD" w:rsidP="005A0C25">
      <w:pPr>
        <w:pStyle w:val="Heading3"/>
      </w:pPr>
      <w:r>
        <w:t xml:space="preserve"> </w:t>
      </w:r>
      <w:r w:rsidR="005A0C25">
        <w:t>“-g no” is used</w:t>
      </w:r>
    </w:p>
    <w:p w14:paraId="16FCDE4B" w14:textId="77777777" w:rsidR="005A0C25" w:rsidRDefault="005A0C25" w:rsidP="005B5BEF">
      <w:r>
        <w:t>No aggregation and packaging of the geoproduct will be performed for the list of the compatible products specified by “-t”.</w:t>
      </w:r>
    </w:p>
    <w:p w14:paraId="7DE8A16F" w14:textId="77777777" w:rsidR="00611674" w:rsidRDefault="005A0C25" w:rsidP="005A0C25">
      <w:pPr>
        <w:pStyle w:val="Heading3"/>
      </w:pPr>
      <w:r>
        <w:t>“-g &lt;</w:t>
      </w:r>
      <w:proofErr w:type="spellStart"/>
      <w:r>
        <w:t>geo_product_name</w:t>
      </w:r>
      <w:proofErr w:type="spellEnd"/>
      <w:r>
        <w:t>&gt;” is used</w:t>
      </w:r>
    </w:p>
    <w:p w14:paraId="60861662" w14:textId="77777777" w:rsidR="00611674" w:rsidRDefault="00AF464B" w:rsidP="00611674">
      <w:r>
        <w:t xml:space="preserve">The data products specified by “-t” will be packaged with the geoproduct specified by “-g”. The specified geoproduct should be a designated product or equivalent of a designated product for </w:t>
      </w:r>
      <w:r w:rsidR="008304D8">
        <w:t>any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240A9C">
        <w:rPr>
          <w:rFonts w:eastAsiaTheme="minorEastAsia"/>
        </w:rPr>
        <w:t xml:space="preserve"> found on the data product list, otherwise the tool will fail.</w:t>
      </w:r>
    </w:p>
    <w:p w14:paraId="13159F92" w14:textId="77777777" w:rsidR="00F43C49" w:rsidRDefault="00F43C49" w:rsidP="008304D8">
      <w:pPr>
        <w:pStyle w:val="Heading2"/>
        <w:numPr>
          <w:ilvl w:val="0"/>
          <w:numId w:val="0"/>
        </w:numPr>
        <w:ind w:left="576"/>
      </w:pPr>
      <w:r>
        <w:br w:type="page"/>
      </w:r>
    </w:p>
    <w:p w14:paraId="3F976214" w14:textId="77777777" w:rsidR="00611674" w:rsidRDefault="00611674" w:rsidP="00611674">
      <w:pPr>
        <w:pStyle w:val="Heading"/>
      </w:pPr>
      <w:r>
        <w:lastRenderedPageBreak/>
        <w:t>Revision History</w:t>
      </w:r>
    </w:p>
    <w:p w14:paraId="2D9A8264" w14:textId="77777777" w:rsidR="00611674" w:rsidRDefault="00611674" w:rsidP="00611674">
      <w:r>
        <w:t xml:space="preserve"> 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7743"/>
      </w:tblGrid>
      <w:tr w:rsidR="00611674" w:rsidRPr="009D6CFF" w14:paraId="282F7C7E" w14:textId="77777777">
        <w:trPr>
          <w:jc w:val="center"/>
        </w:trPr>
        <w:tc>
          <w:tcPr>
            <w:tcW w:w="2337" w:type="dxa"/>
          </w:tcPr>
          <w:p w14:paraId="1B890A1A" w14:textId="77777777" w:rsidR="00611674" w:rsidRPr="009D6CFF" w:rsidRDefault="00F43C49" w:rsidP="00F43C49">
            <w:pPr>
              <w:jc w:val="left"/>
              <w:rPr>
                <w:i/>
              </w:rPr>
            </w:pPr>
            <w:r>
              <w:rPr>
                <w:i/>
              </w:rPr>
              <w:t>February 18</w:t>
            </w:r>
            <w:r w:rsidR="00611674" w:rsidRPr="009D6CFF">
              <w:rPr>
                <w:i/>
              </w:rPr>
              <w:t>, 20</w:t>
            </w:r>
            <w:r>
              <w:rPr>
                <w:i/>
              </w:rPr>
              <w:t>13</w:t>
            </w:r>
            <w:r w:rsidR="00611674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73553DC4" w14:textId="77777777" w:rsidR="00611674" w:rsidRPr="009D6CFF" w:rsidRDefault="00611674" w:rsidP="00611674">
            <w:pPr>
              <w:jc w:val="left"/>
            </w:pPr>
            <w:r w:rsidRPr="009D6CFF">
              <w:t xml:space="preserve">Version 1 circulated for comment within The HDF Group. </w:t>
            </w:r>
          </w:p>
        </w:tc>
      </w:tr>
      <w:tr w:rsidR="00611674" w:rsidRPr="009D6CFF" w14:paraId="02FE5565" w14:textId="77777777">
        <w:trPr>
          <w:jc w:val="center"/>
        </w:trPr>
        <w:tc>
          <w:tcPr>
            <w:tcW w:w="2337" w:type="dxa"/>
          </w:tcPr>
          <w:p w14:paraId="40C7C404" w14:textId="77777777" w:rsidR="00611674" w:rsidRPr="009D6CFF" w:rsidRDefault="008304D8" w:rsidP="00611674">
            <w:pPr>
              <w:jc w:val="left"/>
              <w:rPr>
                <w:rStyle w:val="Emphasis"/>
              </w:rPr>
            </w:pPr>
            <w:r>
              <w:rPr>
                <w:rStyle w:val="Emphasis"/>
              </w:rPr>
              <w:t>February 20, 2013</w:t>
            </w:r>
          </w:p>
        </w:tc>
        <w:tc>
          <w:tcPr>
            <w:tcW w:w="7743" w:type="dxa"/>
          </w:tcPr>
          <w:p w14:paraId="4AB7A9EA" w14:textId="77777777" w:rsidR="00611674" w:rsidRPr="008304D8" w:rsidRDefault="008304D8" w:rsidP="00611674">
            <w:pPr>
              <w:jc w:val="left"/>
              <w:rPr>
                <w:rStyle w:val="Emphasis"/>
                <w:i w:val="0"/>
              </w:rPr>
            </w:pPr>
            <w:r w:rsidRPr="008304D8">
              <w:rPr>
                <w:rStyle w:val="Emphasis"/>
                <w:i w:val="0"/>
              </w:rPr>
              <w:t>Version 2 updated according the comments and posted online.</w:t>
            </w:r>
          </w:p>
        </w:tc>
      </w:tr>
      <w:tr w:rsidR="00611674" w:rsidRPr="009D6CFF" w14:paraId="037098DA" w14:textId="77777777">
        <w:trPr>
          <w:jc w:val="center"/>
        </w:trPr>
        <w:tc>
          <w:tcPr>
            <w:tcW w:w="2337" w:type="dxa"/>
          </w:tcPr>
          <w:p w14:paraId="721EBFEE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  <w:tc>
          <w:tcPr>
            <w:tcW w:w="7743" w:type="dxa"/>
          </w:tcPr>
          <w:p w14:paraId="20B60F2B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</w:tr>
      <w:tr w:rsidR="00611674" w:rsidRPr="009D6CFF" w14:paraId="07C9DE1F" w14:textId="77777777">
        <w:trPr>
          <w:jc w:val="center"/>
        </w:trPr>
        <w:tc>
          <w:tcPr>
            <w:tcW w:w="2337" w:type="dxa"/>
          </w:tcPr>
          <w:p w14:paraId="11A48777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  <w:tc>
          <w:tcPr>
            <w:tcW w:w="7743" w:type="dxa"/>
          </w:tcPr>
          <w:p w14:paraId="6FED9068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</w:tr>
      <w:tr w:rsidR="00611674" w:rsidRPr="009D6CFF" w14:paraId="19BF8804" w14:textId="77777777">
        <w:trPr>
          <w:jc w:val="center"/>
        </w:trPr>
        <w:tc>
          <w:tcPr>
            <w:tcW w:w="2337" w:type="dxa"/>
          </w:tcPr>
          <w:p w14:paraId="665AF3F2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  <w:tc>
          <w:tcPr>
            <w:tcW w:w="7743" w:type="dxa"/>
          </w:tcPr>
          <w:p w14:paraId="4A4D7CF4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</w:tr>
      <w:tr w:rsidR="00611674" w:rsidRPr="009D6CFF" w14:paraId="5A9CF373" w14:textId="77777777">
        <w:trPr>
          <w:jc w:val="center"/>
        </w:trPr>
        <w:tc>
          <w:tcPr>
            <w:tcW w:w="2337" w:type="dxa"/>
          </w:tcPr>
          <w:p w14:paraId="63D1C017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  <w:tc>
          <w:tcPr>
            <w:tcW w:w="7743" w:type="dxa"/>
          </w:tcPr>
          <w:p w14:paraId="00C32CDE" w14:textId="77777777" w:rsidR="00611674" w:rsidRPr="009D6CFF" w:rsidRDefault="00611674" w:rsidP="00611674">
            <w:pPr>
              <w:jc w:val="left"/>
              <w:rPr>
                <w:rStyle w:val="Emphasis"/>
              </w:rPr>
            </w:pPr>
          </w:p>
        </w:tc>
      </w:tr>
    </w:tbl>
    <w:p w14:paraId="52346276" w14:textId="77777777" w:rsidR="00611674" w:rsidRDefault="00611674" w:rsidP="00F43C49">
      <w:pPr>
        <w:pStyle w:val="Heading"/>
      </w:pPr>
    </w:p>
    <w:sectPr w:rsidR="00611674" w:rsidSect="00611674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52" w:right="1152" w:bottom="1440" w:left="1152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70807" w14:textId="77777777" w:rsidR="00403B26" w:rsidRDefault="00403B26" w:rsidP="00611674">
      <w:r>
        <w:separator/>
      </w:r>
    </w:p>
  </w:endnote>
  <w:endnote w:type="continuationSeparator" w:id="0">
    <w:p w14:paraId="315AE54E" w14:textId="77777777" w:rsidR="00403B26" w:rsidRDefault="00403B26" w:rsidP="00611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3461A6FB" w14:textId="77777777" w:rsidR="00EC59EB" w:rsidRDefault="00EC59EB" w:rsidP="00611674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574C4931" wp14:editId="24A0B30C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61D8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661D81">
                <w:rPr>
                  <w:noProof/>
                </w:rPr>
                <w:t>4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14:paraId="0273D4F1" w14:textId="77777777" w:rsidR="00EC59EB" w:rsidRDefault="00EC59EB" w:rsidP="00611674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44018975" wp14:editId="0A032CE4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61D81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661D81">
                <w:rPr>
                  <w:noProof/>
                </w:rPr>
                <w:t>4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FFA9D" w14:textId="77777777" w:rsidR="00403B26" w:rsidRDefault="00403B26" w:rsidP="00611674">
      <w:r>
        <w:separator/>
      </w:r>
    </w:p>
  </w:footnote>
  <w:footnote w:type="continuationSeparator" w:id="0">
    <w:p w14:paraId="7EB50B7E" w14:textId="77777777" w:rsidR="00403B26" w:rsidRDefault="00403B26" w:rsidP="00611674">
      <w:r>
        <w:continuationSeparator/>
      </w:r>
    </w:p>
  </w:footnote>
  <w:footnote w:id="1">
    <w:p w14:paraId="36DDE312" w14:textId="77777777" w:rsidR="00EC59EB" w:rsidRDefault="00EC59EB" w:rsidP="00B361F9">
      <w:pPr>
        <w:pStyle w:val="Heading1"/>
        <w:numPr>
          <w:ilvl w:val="0"/>
          <w:numId w:val="0"/>
        </w:numPr>
        <w:rPr>
          <w:rFonts w:asciiTheme="minorHAnsi" w:hAnsiTheme="minorHAnsi"/>
          <w:b w:val="0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B361F9">
        <w:rPr>
          <w:rFonts w:asciiTheme="minorHAnsi" w:hAnsiTheme="minorHAnsi"/>
          <w:b w:val="0"/>
          <w:sz w:val="24"/>
          <w:szCs w:val="24"/>
        </w:rPr>
        <w:t>While</w:t>
      </w:r>
      <w:r>
        <w:t xml:space="preserve"> </w:t>
      </w:r>
      <w:r>
        <w:rPr>
          <w:rFonts w:asciiTheme="minorHAnsi" w:hAnsiTheme="minorHAnsi"/>
          <w:b w:val="0"/>
          <w:sz w:val="24"/>
          <w:szCs w:val="24"/>
        </w:rPr>
        <w:t xml:space="preserve">Nagg documentation uses term “compatible”, it never defines it (see for example, nagg’s RM page </w:t>
      </w:r>
      <w:hyperlink r:id="rId1" w:history="1">
        <w:r w:rsidRPr="000C2508">
          <w:rPr>
            <w:rStyle w:val="Hyperlink"/>
            <w:rFonts w:asciiTheme="minorHAnsi" w:hAnsiTheme="minorHAnsi"/>
            <w:b w:val="0"/>
            <w:sz w:val="24"/>
            <w:szCs w:val="24"/>
          </w:rPr>
          <w:t>http://www.hdfgroup.org/projects/npoess/documentation/nagg/nagg-RM.htm</w:t>
        </w:r>
      </w:hyperlink>
      <w:r>
        <w:rPr>
          <w:rFonts w:asciiTheme="minorHAnsi" w:hAnsiTheme="minorHAnsi"/>
          <w:b w:val="0"/>
          <w:sz w:val="24"/>
          <w:szCs w:val="24"/>
        </w:rPr>
        <w:t>). With this RFC we hope to close the definition gap.</w:t>
      </w:r>
    </w:p>
    <w:p w14:paraId="795D04E0" w14:textId="77777777" w:rsidR="00EC59EB" w:rsidRDefault="00EC59E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3164C" w14:textId="77777777" w:rsidR="00EC59EB" w:rsidRDefault="00EC59EB" w:rsidP="00611674">
    <w:pPr>
      <w:pStyle w:val="THGHeader2"/>
    </w:pPr>
    <w:r>
      <w:t xml:space="preserve">February </w:t>
    </w:r>
    <w:r w:rsidR="008304D8">
      <w:t>20</w:t>
    </w:r>
    <w:r>
      <w:t>, 2013</w:t>
    </w:r>
    <w:r>
      <w:ptab w:relativeTo="margin" w:alignment="center" w:leader="none"/>
    </w:r>
    <w:r>
      <w:ptab w:relativeTo="margin" w:alignment="right" w:leader="none"/>
    </w:r>
    <w:r>
      <w:t>RFC THG 2013-02-18.</w:t>
    </w:r>
    <w:r w:rsidR="008304D8">
      <w:t>v</w:t>
    </w:r>
    <w:r w:rsidR="008304D8">
      <w:t>2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C3E82" w14:textId="77777777" w:rsidR="00EC59EB" w:rsidRPr="006D4EA4" w:rsidRDefault="00EC59EB" w:rsidP="00611674">
    <w:pPr>
      <w:pStyle w:val="THGHeader"/>
    </w:pPr>
    <w:r>
      <w:t xml:space="preserve">February </w:t>
    </w:r>
    <w:r w:rsidR="008304D8">
      <w:t>20</w:t>
    </w:r>
    <w:r>
      <w:t>, 2013</w:t>
    </w:r>
    <w:r>
      <w:ptab w:relativeTo="margin" w:alignment="center" w:leader="none"/>
    </w:r>
    <w:r>
      <w:ptab w:relativeTo="margin" w:alignment="right" w:leader="none"/>
    </w:r>
    <w:r>
      <w:t>RFC THG 2013-02-18.</w:t>
    </w:r>
    <w:r w:rsidR="008304D8">
      <w:t>v</w:t>
    </w:r>
    <w:r w:rsidR="008304D8">
      <w:t>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0"/>
    <w:multiLevelType w:val="singleLevel"/>
    <w:tmpl w:val="DB6C3E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9D287A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CA0233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19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A7D08074"/>
    <w:lvl w:ilvl="0">
      <w:start w:val="1"/>
      <w:numFmt w:val="decimal"/>
      <w:pStyle w:val="ListNumberReference"/>
      <w:lvlText w:val="%1."/>
      <w:lvlJc w:val="left"/>
      <w:pPr>
        <w:ind w:left="360" w:hanging="360"/>
      </w:pPr>
    </w:lvl>
  </w:abstractNum>
  <w:abstractNum w:abstractNumId="8">
    <w:nsid w:val="FFFFFF89"/>
    <w:multiLevelType w:val="singleLevel"/>
    <w:tmpl w:val="E348CE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7591A68"/>
    <w:multiLevelType w:val="multilevel"/>
    <w:tmpl w:val="C060AE8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13346CA0"/>
    <w:multiLevelType w:val="hybridMultilevel"/>
    <w:tmpl w:val="F1D64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EA2E7E"/>
    <w:multiLevelType w:val="hybridMultilevel"/>
    <w:tmpl w:val="97669FEA"/>
    <w:lvl w:ilvl="0" w:tplc="33C43C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12"/>
  </w:num>
  <w:num w:numId="20">
    <w:abstractNumId w:val="11"/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8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7"/>
  </w:num>
  <w:num w:numId="34">
    <w:abstractNumId w:val="7"/>
    <w:lvlOverride w:ilvl="0">
      <w:startOverride w:val="1"/>
    </w:lvlOverride>
  </w:num>
  <w:num w:numId="3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trackRevisions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B8"/>
    <w:rsid w:val="00041F1E"/>
    <w:rsid w:val="00045107"/>
    <w:rsid w:val="00077087"/>
    <w:rsid w:val="00077F4A"/>
    <w:rsid w:val="000C5ABD"/>
    <w:rsid w:val="001D39E7"/>
    <w:rsid w:val="00240A9C"/>
    <w:rsid w:val="00294011"/>
    <w:rsid w:val="00360AE1"/>
    <w:rsid w:val="00386B2E"/>
    <w:rsid w:val="003C1CCC"/>
    <w:rsid w:val="003D18B5"/>
    <w:rsid w:val="003F040D"/>
    <w:rsid w:val="00403B26"/>
    <w:rsid w:val="004200E8"/>
    <w:rsid w:val="004421E1"/>
    <w:rsid w:val="00447BEF"/>
    <w:rsid w:val="005A0C25"/>
    <w:rsid w:val="005B5BEF"/>
    <w:rsid w:val="00611674"/>
    <w:rsid w:val="00661D81"/>
    <w:rsid w:val="00723385"/>
    <w:rsid w:val="00796155"/>
    <w:rsid w:val="007C1AE8"/>
    <w:rsid w:val="008304D8"/>
    <w:rsid w:val="008F7EB8"/>
    <w:rsid w:val="00937B03"/>
    <w:rsid w:val="00985B4D"/>
    <w:rsid w:val="0099560A"/>
    <w:rsid w:val="00A420A2"/>
    <w:rsid w:val="00A7587D"/>
    <w:rsid w:val="00AF464B"/>
    <w:rsid w:val="00B20463"/>
    <w:rsid w:val="00B361F9"/>
    <w:rsid w:val="00BD14F9"/>
    <w:rsid w:val="00CD7C81"/>
    <w:rsid w:val="00DD1AE0"/>
    <w:rsid w:val="00DF4FA0"/>
    <w:rsid w:val="00EC59EB"/>
    <w:rsid w:val="00EE0F05"/>
    <w:rsid w:val="00F43C49"/>
    <w:rsid w:val="00FA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69118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913E2A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D95412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CD7C81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5A0C25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911B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0E4D80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945E9B"/>
    <w:rPr>
      <w:rFonts w:eastAsiaTheme="majorEastAsia" w:cstheme="majorBidi"/>
      <w:b/>
      <w:bCs/>
      <w:color w:val="000000" w:themeColor="text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CD7C81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5A0C25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985AAE"/>
    <w:rPr>
      <w:rFonts w:eastAsiaTheme="majorEastAsia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ind w:left="360" w:hanging="360"/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20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qFormat/>
    <w:rsid w:val="00A51A91"/>
    <w:pPr>
      <w:keepNext/>
      <w:spacing w:before="240" w:after="120"/>
      <w:jc w:val="left"/>
    </w:pPr>
    <w:rPr>
      <w:rFonts w:eastAsiaTheme="minorEastAsia"/>
      <w:color w:val="000000" w:themeColor="text1"/>
      <w:sz w:val="24"/>
      <w:lang w:bidi="en-US"/>
    </w:rPr>
  </w:style>
  <w:style w:type="paragraph" w:customStyle="1" w:styleId="TableHeading">
    <w:name w:val="Table Heading"/>
    <w:basedOn w:val="Normal"/>
    <w:qFormat/>
    <w:rsid w:val="00A51A91"/>
    <w:pPr>
      <w:spacing w:before="160"/>
      <w:jc w:val="left"/>
    </w:pPr>
  </w:style>
  <w:style w:type="paragraph" w:customStyle="1" w:styleId="TableFootnote">
    <w:name w:val="Table Footnote"/>
    <w:basedOn w:val="Normal"/>
    <w:qFormat/>
    <w:rsid w:val="00A51A91"/>
    <w:rPr>
      <w:sz w:val="20"/>
    </w:rPr>
  </w:style>
  <w:style w:type="paragraph" w:styleId="Caption">
    <w:name w:val="caption"/>
    <w:basedOn w:val="Normal"/>
    <w:next w:val="Normal"/>
    <w:uiPriority w:val="35"/>
    <w:unhideWhenUsed/>
    <w:qFormat/>
    <w:rsid w:val="00A51A9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Figure">
    <w:name w:val="Figure"/>
    <w:basedOn w:val="Normal"/>
    <w:qFormat/>
    <w:rsid w:val="00804785"/>
    <w:pPr>
      <w:jc w:val="center"/>
    </w:pPr>
  </w:style>
  <w:style w:type="paragraph" w:customStyle="1" w:styleId="FigureCaption">
    <w:name w:val="Figure Caption"/>
    <w:basedOn w:val="TableCaption"/>
    <w:qFormat/>
    <w:rsid w:val="00804785"/>
  </w:style>
  <w:style w:type="paragraph" w:customStyle="1" w:styleId="ListNumberReference">
    <w:name w:val="List Number Reference"/>
    <w:basedOn w:val="ListNumber"/>
    <w:qFormat/>
    <w:rsid w:val="00440352"/>
    <w:pPr>
      <w:numPr>
        <w:numId w:val="33"/>
      </w:numPr>
    </w:pPr>
  </w:style>
  <w:style w:type="paragraph" w:styleId="FootnoteText">
    <w:name w:val="footnote text"/>
    <w:basedOn w:val="Normal"/>
    <w:link w:val="FootnoteTextChar"/>
    <w:rsid w:val="00B361F9"/>
    <w:pPr>
      <w:spacing w:after="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B361F9"/>
    <w:rPr>
      <w:rFonts w:asciiTheme="minorHAnsi" w:hAnsiTheme="minorHAnsi"/>
      <w:sz w:val="24"/>
      <w:szCs w:val="24"/>
    </w:rPr>
  </w:style>
  <w:style w:type="character" w:styleId="FootnoteReference">
    <w:name w:val="footnote reference"/>
    <w:basedOn w:val="DefaultParagraphFont"/>
    <w:rsid w:val="00B361F9"/>
    <w:rPr>
      <w:vertAlign w:val="superscript"/>
    </w:rPr>
  </w:style>
  <w:style w:type="character" w:styleId="PlaceholderText">
    <w:name w:val="Placeholder Text"/>
    <w:basedOn w:val="DefaultParagraphFont"/>
    <w:rsid w:val="00CD7C81"/>
    <w:rPr>
      <w:color w:val="808080"/>
    </w:rPr>
  </w:style>
  <w:style w:type="table" w:styleId="DarkList-Accent5">
    <w:name w:val="Dark List Accent 5"/>
    <w:basedOn w:val="TableNormal"/>
    <w:rsid w:val="00CD7C8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913E2A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D95412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CD7C81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5A0C25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911B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0E4D80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945E9B"/>
    <w:rPr>
      <w:rFonts w:eastAsiaTheme="majorEastAsia" w:cstheme="majorBidi"/>
      <w:b/>
      <w:bCs/>
      <w:color w:val="000000" w:themeColor="text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CD7C81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5A0C25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985AAE"/>
    <w:rPr>
      <w:rFonts w:eastAsiaTheme="majorEastAsia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5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ind w:left="360" w:hanging="360"/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20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qFormat/>
    <w:rsid w:val="00A51A91"/>
    <w:pPr>
      <w:keepNext/>
      <w:spacing w:before="240" w:after="120"/>
      <w:jc w:val="left"/>
    </w:pPr>
    <w:rPr>
      <w:rFonts w:eastAsiaTheme="minorEastAsia"/>
      <w:color w:val="000000" w:themeColor="text1"/>
      <w:sz w:val="24"/>
      <w:lang w:bidi="en-US"/>
    </w:rPr>
  </w:style>
  <w:style w:type="paragraph" w:customStyle="1" w:styleId="TableHeading">
    <w:name w:val="Table Heading"/>
    <w:basedOn w:val="Normal"/>
    <w:qFormat/>
    <w:rsid w:val="00A51A91"/>
    <w:pPr>
      <w:spacing w:before="160"/>
      <w:jc w:val="left"/>
    </w:pPr>
  </w:style>
  <w:style w:type="paragraph" w:customStyle="1" w:styleId="TableFootnote">
    <w:name w:val="Table Footnote"/>
    <w:basedOn w:val="Normal"/>
    <w:qFormat/>
    <w:rsid w:val="00A51A91"/>
    <w:rPr>
      <w:sz w:val="20"/>
    </w:rPr>
  </w:style>
  <w:style w:type="paragraph" w:styleId="Caption">
    <w:name w:val="caption"/>
    <w:basedOn w:val="Normal"/>
    <w:next w:val="Normal"/>
    <w:uiPriority w:val="35"/>
    <w:unhideWhenUsed/>
    <w:qFormat/>
    <w:rsid w:val="00A51A9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Figure">
    <w:name w:val="Figure"/>
    <w:basedOn w:val="Normal"/>
    <w:qFormat/>
    <w:rsid w:val="00804785"/>
    <w:pPr>
      <w:jc w:val="center"/>
    </w:pPr>
  </w:style>
  <w:style w:type="paragraph" w:customStyle="1" w:styleId="FigureCaption">
    <w:name w:val="Figure Caption"/>
    <w:basedOn w:val="TableCaption"/>
    <w:qFormat/>
    <w:rsid w:val="00804785"/>
  </w:style>
  <w:style w:type="paragraph" w:customStyle="1" w:styleId="ListNumberReference">
    <w:name w:val="List Number Reference"/>
    <w:basedOn w:val="ListNumber"/>
    <w:qFormat/>
    <w:rsid w:val="00440352"/>
    <w:pPr>
      <w:numPr>
        <w:numId w:val="33"/>
      </w:numPr>
    </w:pPr>
  </w:style>
  <w:style w:type="paragraph" w:styleId="FootnoteText">
    <w:name w:val="footnote text"/>
    <w:basedOn w:val="Normal"/>
    <w:link w:val="FootnoteTextChar"/>
    <w:rsid w:val="00B361F9"/>
    <w:pPr>
      <w:spacing w:after="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B361F9"/>
    <w:rPr>
      <w:rFonts w:asciiTheme="minorHAnsi" w:hAnsiTheme="minorHAnsi"/>
      <w:sz w:val="24"/>
      <w:szCs w:val="24"/>
    </w:rPr>
  </w:style>
  <w:style w:type="character" w:styleId="FootnoteReference">
    <w:name w:val="footnote reference"/>
    <w:basedOn w:val="DefaultParagraphFont"/>
    <w:rsid w:val="00B361F9"/>
    <w:rPr>
      <w:vertAlign w:val="superscript"/>
    </w:rPr>
  </w:style>
  <w:style w:type="character" w:styleId="PlaceholderText">
    <w:name w:val="Placeholder Text"/>
    <w:basedOn w:val="DefaultParagraphFont"/>
    <w:rsid w:val="00CD7C81"/>
    <w:rPr>
      <w:color w:val="808080"/>
    </w:rPr>
  </w:style>
  <w:style w:type="table" w:styleId="DarkList-Accent5">
    <w:name w:val="Dark List Accent 5"/>
    <w:basedOn w:val="TableNormal"/>
    <w:rsid w:val="00CD7C8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hdfgroup.org/projects/npoess/nagg_index.html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fgroup.org/projects/npoess/documentation/nagg/nagg-RM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rknox\Document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FB611-5CFE-A44E-9D2A-823D15C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\Users\lrknox\Documents\RFC_Template.dotx</Template>
  <TotalTime>10</TotalTime>
  <Pages>4</Pages>
  <Words>611</Words>
  <Characters>3488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 Template</vt:lpstr>
    </vt:vector>
  </TitlesOfParts>
  <Company>The HDF Group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 Template</dc:title>
  <dc:creator>Elena Pourmal</dc:creator>
  <cp:lastModifiedBy>Elena Pourmal</cp:lastModifiedBy>
  <cp:revision>8</cp:revision>
  <cp:lastPrinted>2013-02-28T21:42:00Z</cp:lastPrinted>
  <dcterms:created xsi:type="dcterms:W3CDTF">2013-02-28T21:33:00Z</dcterms:created>
  <dcterms:modified xsi:type="dcterms:W3CDTF">2013-02-28T21:42:00Z</dcterms:modified>
</cp:coreProperties>
</file>